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400"/>
      </w:tblGrid>
      <w:tr w:rsidR="0021040B" w:rsidRPr="0021040B" w:rsidTr="0021040B">
        <w:trPr>
          <w:trHeight w:val="600"/>
          <w:tblCellSpacing w:w="0" w:type="dxa"/>
        </w:trPr>
        <w:tc>
          <w:tcPr>
            <w:tcW w:w="0" w:type="auto"/>
            <w:hideMark/>
          </w:tcPr>
          <w:p w:rsidR="0021040B" w:rsidRPr="0021040B" w:rsidRDefault="0021040B" w:rsidP="0021040B">
            <w:pPr>
              <w:spacing w:before="30" w:after="120" w:line="390" w:lineRule="atLeast"/>
              <w:outlineLvl w:val="0"/>
              <w:rPr>
                <w:rFonts w:ascii="Arial" w:eastAsia="Times New Roman" w:hAnsi="Arial" w:cs="Arial"/>
                <w:color w:val="706F5C"/>
                <w:kern w:val="36"/>
                <w:sz w:val="30"/>
                <w:szCs w:val="30"/>
                <w:lang w:eastAsia="fr-FR"/>
              </w:rPr>
            </w:pPr>
            <w:proofErr w:type="spellStart"/>
            <w:r w:rsidRPr="0021040B">
              <w:rPr>
                <w:rFonts w:ascii="Arial" w:eastAsia="Times New Roman" w:hAnsi="Arial" w:cs="Arial"/>
                <w:color w:val="706F5C"/>
                <w:kern w:val="36"/>
                <w:sz w:val="30"/>
                <w:szCs w:val="30"/>
                <w:lang w:eastAsia="fr-FR"/>
              </w:rPr>
              <w:t>XenServer</w:t>
            </w:r>
            <w:proofErr w:type="spellEnd"/>
            <w:r w:rsidRPr="0021040B">
              <w:rPr>
                <w:rFonts w:ascii="Arial" w:eastAsia="Times New Roman" w:hAnsi="Arial" w:cs="Arial"/>
                <w:color w:val="706F5C"/>
                <w:kern w:val="36"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21040B">
              <w:rPr>
                <w:rFonts w:ascii="Arial" w:eastAsia="Times New Roman" w:hAnsi="Arial" w:cs="Arial"/>
                <w:color w:val="706F5C"/>
                <w:kern w:val="36"/>
                <w:sz w:val="30"/>
                <w:szCs w:val="30"/>
                <w:lang w:eastAsia="fr-FR"/>
              </w:rPr>
              <w:t>features</w:t>
            </w:r>
            <w:proofErr w:type="spellEnd"/>
            <w:r w:rsidRPr="0021040B">
              <w:rPr>
                <w:rFonts w:ascii="Arial" w:eastAsia="Times New Roman" w:hAnsi="Arial" w:cs="Arial"/>
                <w:color w:val="706F5C"/>
                <w:kern w:val="36"/>
                <w:sz w:val="30"/>
                <w:szCs w:val="30"/>
                <w:lang w:eastAsia="fr-FR"/>
              </w:rPr>
              <w:t xml:space="preserve"> by </w:t>
            </w:r>
            <w:proofErr w:type="spellStart"/>
            <w:r w:rsidRPr="0021040B">
              <w:rPr>
                <w:rFonts w:ascii="Arial" w:eastAsia="Times New Roman" w:hAnsi="Arial" w:cs="Arial"/>
                <w:color w:val="706F5C"/>
                <w:kern w:val="36"/>
                <w:sz w:val="30"/>
                <w:szCs w:val="30"/>
                <w:lang w:eastAsia="fr-FR"/>
              </w:rPr>
              <w:t>edition</w:t>
            </w:r>
            <w:proofErr w:type="spellEnd"/>
          </w:p>
        </w:tc>
      </w:tr>
      <w:tr w:rsidR="0021040B" w:rsidRPr="0021040B" w:rsidTr="0021040B">
        <w:trPr>
          <w:trHeight w:val="375"/>
          <w:tblCellSpacing w:w="0" w:type="dxa"/>
        </w:trPr>
        <w:tc>
          <w:tcPr>
            <w:tcW w:w="0" w:type="auto"/>
            <w:hideMark/>
          </w:tcPr>
          <w:tbl>
            <w:tblPr>
              <w:tblW w:w="144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150"/>
              <w:gridCol w:w="2250"/>
            </w:tblGrid>
            <w:tr w:rsidR="0021040B" w:rsidRPr="0021040B">
              <w:trPr>
                <w:tblCellSpacing w:w="0" w:type="dxa"/>
              </w:trPr>
              <w:tc>
                <w:tcPr>
                  <w:tcW w:w="12150" w:type="dxa"/>
                  <w:hideMark/>
                </w:tcPr>
                <w:p w:rsidR="0021040B" w:rsidRPr="0021040B" w:rsidRDefault="0021040B" w:rsidP="0021040B">
                  <w:pPr>
                    <w:spacing w:before="100" w:beforeAutospacing="1" w:after="270" w:line="270" w:lineRule="atLeast"/>
                    <w:rPr>
                      <w:rFonts w:ascii="Arial" w:eastAsia="Times New Roman" w:hAnsi="Arial" w:cs="Arial"/>
                      <w:color w:val="35383D"/>
                      <w:sz w:val="18"/>
                      <w:szCs w:val="18"/>
                      <w:lang w:val="en-US" w:eastAsia="fr-FR"/>
                    </w:rPr>
                  </w:pPr>
                  <w:r w:rsidRPr="0021040B">
                    <w:rPr>
                      <w:rFonts w:ascii="Arial" w:eastAsia="Times New Roman" w:hAnsi="Arial" w:cs="Arial"/>
                      <w:color w:val="35383D"/>
                      <w:sz w:val="18"/>
                      <w:szCs w:val="18"/>
                      <w:lang w:val="en-US" w:eastAsia="fr-FR"/>
                    </w:rPr>
                    <w:t xml:space="preserve">Citrix </w:t>
                  </w:r>
                  <w:proofErr w:type="spellStart"/>
                  <w:r w:rsidRPr="0021040B">
                    <w:rPr>
                      <w:rFonts w:ascii="Arial" w:eastAsia="Times New Roman" w:hAnsi="Arial" w:cs="Arial"/>
                      <w:color w:val="35383D"/>
                      <w:sz w:val="18"/>
                      <w:szCs w:val="18"/>
                      <w:lang w:val="en-US" w:eastAsia="fr-FR"/>
                    </w:rPr>
                    <w:t>XenServer</w:t>
                  </w:r>
                  <w:proofErr w:type="spellEnd"/>
                  <w:r w:rsidRPr="0021040B">
                    <w:rPr>
                      <w:rFonts w:ascii="Arial" w:eastAsia="Times New Roman" w:hAnsi="Arial" w:cs="Arial"/>
                      <w:color w:val="35383D"/>
                      <w:sz w:val="18"/>
                      <w:szCs w:val="18"/>
                      <w:lang w:val="en-US" w:eastAsia="fr-FR"/>
                    </w:rPr>
                    <w:t xml:space="preserve"> is the only enterprise-class, cloud-proven virtualization platform that delivers all of the critical features needed for any server and datacenter virtualization implementation—scalability for any size business, support for Windows® and Linux OSs and complex storage needs, centralized multi-server management, live </w:t>
                  </w:r>
                  <w:hyperlink r:id="rId4" w:history="1">
                    <w:r w:rsidRPr="0021040B">
                      <w:rPr>
                        <w:rFonts w:ascii="Arial" w:eastAsia="Times New Roman" w:hAnsi="Arial" w:cs="Arial"/>
                        <w:color w:val="00598C"/>
                        <w:sz w:val="18"/>
                        <w:szCs w:val="18"/>
                        <w:lang w:val="en-US" w:eastAsia="fr-FR"/>
                      </w:rPr>
                      <w:t>virtual machine</w:t>
                    </w:r>
                  </w:hyperlink>
                  <w:r w:rsidRPr="0021040B">
                    <w:rPr>
                      <w:rFonts w:ascii="Arial" w:eastAsia="Times New Roman" w:hAnsi="Arial" w:cs="Arial"/>
                      <w:color w:val="35383D"/>
                      <w:sz w:val="18"/>
                      <w:szCs w:val="18"/>
                      <w:lang w:val="en-US" w:eastAsia="fr-FR"/>
                    </w:rPr>
                    <w:t xml:space="preserve"> migration, and much more. No matter where you choose to begin with </w:t>
                  </w:r>
                  <w:proofErr w:type="spellStart"/>
                  <w:r w:rsidRPr="0021040B">
                    <w:rPr>
                      <w:rFonts w:ascii="Arial" w:eastAsia="Times New Roman" w:hAnsi="Arial" w:cs="Arial"/>
                      <w:color w:val="35383D"/>
                      <w:sz w:val="18"/>
                      <w:szCs w:val="18"/>
                      <w:lang w:val="en-US" w:eastAsia="fr-FR"/>
                    </w:rPr>
                    <w:t>XenServer</w:t>
                  </w:r>
                  <w:proofErr w:type="spellEnd"/>
                  <w:r w:rsidRPr="0021040B">
                    <w:rPr>
                      <w:rFonts w:ascii="Arial" w:eastAsia="Times New Roman" w:hAnsi="Arial" w:cs="Arial"/>
                      <w:color w:val="35383D"/>
                      <w:sz w:val="18"/>
                      <w:szCs w:val="18"/>
                      <w:lang w:val="en-US" w:eastAsia="fr-FR"/>
                    </w:rPr>
                    <w:t xml:space="preserve">, all editions are compatible and can be upgraded in place via license key, with no additional software installation or downtime required. Purchasing </w:t>
                  </w:r>
                  <w:proofErr w:type="spellStart"/>
                  <w:r w:rsidRPr="0021040B">
                    <w:rPr>
                      <w:rFonts w:ascii="Arial" w:eastAsia="Times New Roman" w:hAnsi="Arial" w:cs="Arial"/>
                      <w:color w:val="35383D"/>
                      <w:sz w:val="18"/>
                      <w:szCs w:val="18"/>
                      <w:lang w:val="en-US" w:eastAsia="fr-FR"/>
                    </w:rPr>
                    <w:t>XenServer</w:t>
                  </w:r>
                  <w:proofErr w:type="spellEnd"/>
                  <w:r w:rsidRPr="0021040B">
                    <w:rPr>
                      <w:rFonts w:ascii="Arial" w:eastAsia="Times New Roman" w:hAnsi="Arial" w:cs="Arial"/>
                      <w:color w:val="35383D"/>
                      <w:sz w:val="18"/>
                      <w:szCs w:val="18"/>
                      <w:lang w:val="en-US" w:eastAsia="fr-FR"/>
                    </w:rPr>
                    <w:t xml:space="preserve"> is simple with pricing appointed on a per server basis.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1040B" w:rsidRPr="0021040B" w:rsidRDefault="0021040B" w:rsidP="0021040B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5383D"/>
                      <w:sz w:val="18"/>
                      <w:szCs w:val="18"/>
                      <w:lang w:val="en-US" w:eastAsia="fr-FR"/>
                    </w:rPr>
                  </w:pPr>
                </w:p>
              </w:tc>
            </w:tr>
          </w:tbl>
          <w:p w:rsidR="0021040B" w:rsidRPr="0021040B" w:rsidRDefault="0021040B" w:rsidP="0021040B">
            <w:pPr>
              <w:spacing w:after="0" w:line="270" w:lineRule="atLeast"/>
              <w:rPr>
                <w:rFonts w:ascii="Arial" w:eastAsia="Times New Roman" w:hAnsi="Arial" w:cs="Arial"/>
                <w:color w:val="35383D"/>
                <w:sz w:val="18"/>
                <w:szCs w:val="18"/>
                <w:lang w:val="en-US" w:eastAsia="fr-FR"/>
              </w:rPr>
            </w:pPr>
          </w:p>
        </w:tc>
      </w:tr>
      <w:tr w:rsidR="0021040B" w:rsidRPr="0021040B" w:rsidTr="0021040B">
        <w:trPr>
          <w:tblCellSpacing w:w="0" w:type="dxa"/>
        </w:trPr>
        <w:tc>
          <w:tcPr>
            <w:tcW w:w="0" w:type="auto"/>
            <w:hideMark/>
          </w:tcPr>
          <w:tbl>
            <w:tblPr>
              <w:tblW w:w="144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400"/>
            </w:tblGrid>
            <w:tr w:rsidR="0021040B" w:rsidRPr="0021040B">
              <w:trPr>
                <w:tblCellSpacing w:w="0" w:type="dxa"/>
              </w:trPr>
              <w:tc>
                <w:tcPr>
                  <w:tcW w:w="9750" w:type="dxa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"/>
                    <w:gridCol w:w="7251"/>
                    <w:gridCol w:w="150"/>
                  </w:tblGrid>
                  <w:tr w:rsidR="0021040B" w:rsidRPr="0021040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1040B" w:rsidRPr="0021040B" w:rsidRDefault="0021040B" w:rsidP="0021040B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5383D"/>
                            <w:sz w:val="18"/>
                            <w:szCs w:val="18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35383D"/>
                            <w:sz w:val="18"/>
                            <w:szCs w:val="18"/>
                            <w:lang w:eastAsia="fr-FR"/>
                          </w:rPr>
                          <w:drawing>
                            <wp:inline distT="0" distB="0" distL="0" distR="0">
                              <wp:extent cx="76200" cy="809625"/>
                              <wp:effectExtent l="19050" t="0" r="0" b="0"/>
                              <wp:docPr id="1" name="Image 1" descr="http://www.citrix.com/site/resources/dynamic/additional/demos/bin/em/elm/wdg/table_corner_tl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citrix.com/site/resources/dynamic/additional/demos/bin/em/elm/wdg/table_corner_tl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80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843"/>
                          <w:gridCol w:w="870"/>
                          <w:gridCol w:w="870"/>
                          <w:gridCol w:w="870"/>
                          <w:gridCol w:w="798"/>
                        </w:tblGrid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XenServer</w:t>
                              </w:r>
                              <w:proofErr w:type="spellEnd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 xml:space="preserve"> </w:t>
                              </w: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Features</w:t>
                              </w:r>
                              <w:proofErr w:type="spellEnd"/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2650" w:type="pct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Free Virtual Infrastructure</w:t>
                              </w:r>
                            </w:p>
                          </w:tc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Free</w:t>
                              </w:r>
                            </w:p>
                          </w:tc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Advanced</w:t>
                              </w:r>
                            </w:p>
                          </w:tc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Enterprise</w:t>
                              </w:r>
                            </w:p>
                          </w:tc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Platinum</w:t>
                              </w:r>
                              <w:proofErr w:type="spellEnd"/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XenServer</w:t>
                              </w:r>
                              <w:proofErr w:type="spellEnd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 xml:space="preserve"> </w:t>
                              </w: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Hypervisor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2" name="Image 2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3" name="Image 3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4" name="Image 4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5" name="Image 5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Conversion Tools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6" name="Image 6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7" name="Image 7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8" name="Image 8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9" name="Image 9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val="en-US" w:eastAsia="fr-FR"/>
                                </w:rPr>
                              </w:pPr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val="en-US" w:eastAsia="fr-FR"/>
                                </w:rPr>
                                <w:t xml:space="preserve">Management integration with </w:t>
                              </w:r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val="en-US" w:eastAsia="fr-FR"/>
                                </w:rPr>
                                <w:br/>
                                <w:t>Microsoft System Center VMM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10" name="Image 10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11" name="Image 11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12" name="Image 12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13" name="Image 13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Resilient</w:t>
                              </w:r>
                              <w:proofErr w:type="spellEnd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 xml:space="preserve"> </w:t>
                              </w: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distributed</w:t>
                              </w:r>
                              <w:proofErr w:type="spellEnd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 xml:space="preserve"> </w:t>
                              </w:r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  <w:t>management architecture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14" name="Image 14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15" name="Image 15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16" name="Image 16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17" name="Image 17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val="en-US" w:eastAsia="fr-FR"/>
                                </w:rPr>
                              </w:pPr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val="en-US" w:eastAsia="fr-FR"/>
                                </w:rPr>
                                <w:t>VM disk snapshot and revert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18" name="Image 18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19" name="Image 19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20" name="Image 20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21" name="Image 21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XenCenter</w:t>
                              </w:r>
                              <w:proofErr w:type="spellEnd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 xml:space="preserve"> Management Console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22" name="Image 22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23" name="Image 23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24" name="Image 24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25" name="Image 25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XenMotion</w:t>
                              </w:r>
                              <w:proofErr w:type="spellEnd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 xml:space="preserve"> Live Migration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26" name="Image 26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27" name="Image 27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28" name="Image 28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29" name="Image 29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Advanced Management and Automation</w:t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val="en-US" w:eastAsia="fr-FR"/>
                                </w:rPr>
                              </w:pPr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val="en-US" w:eastAsia="fr-FR"/>
                                </w:rPr>
                                <w:t>Automated VM protection and recovery</w:t>
                              </w:r>
                              <w:r w:rsidRPr="0021040B">
                                <w:rPr>
                                  <w:rFonts w:ascii="Arial" w:eastAsia="Times New Roman" w:hAnsi="Arial" w:cs="Arial"/>
                                  <w:color w:val="76797C"/>
                                  <w:sz w:val="15"/>
                                  <w:szCs w:val="15"/>
                                  <w:vertAlign w:val="superscript"/>
                                  <w:lang w:val="en-US" w:eastAsia="fr-FR"/>
                                </w:rPr>
                                <w:t>[1]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val="en-US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30" name="Image 30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31" name="Image 31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32" name="Image 32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Distributed</w:t>
                              </w:r>
                              <w:proofErr w:type="spellEnd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 xml:space="preserve"> </w:t>
                              </w: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virtual</w:t>
                              </w:r>
                              <w:proofErr w:type="spellEnd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 xml:space="preserve"> </w:t>
                              </w: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switching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33" name="Image 33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34" name="Image 34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35" name="Image 35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Heterogeneous</w:t>
                              </w:r>
                              <w:proofErr w:type="spellEnd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 xml:space="preserve"> Pools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36" name="Image 36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37" name="Image 37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38" name="Image 38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 xml:space="preserve">High </w:t>
                              </w: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Availability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39" name="Image 39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40" name="Image 40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41" name="Image 41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 xml:space="preserve">Memory </w:t>
                              </w: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Optimization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42" name="Image 42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43" name="Image 43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44" name="Image 44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 xml:space="preserve">Performance </w:t>
                              </w: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alerting</w:t>
                              </w:r>
                              <w:proofErr w:type="spellEnd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 xml:space="preserve"> and </w:t>
                              </w: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reporting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45" name="Image 45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46" name="Image 46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47" name="Image 47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Dynamic</w:t>
                              </w:r>
                              <w:proofErr w:type="spellEnd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 xml:space="preserve"> </w:t>
                              </w: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workload</w:t>
                              </w:r>
                              <w:proofErr w:type="spellEnd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 xml:space="preserve"> </w:t>
                              </w: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balancing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48" name="Image 48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49" name="Image 49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 xml:space="preserve">GPU </w:t>
                              </w: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pass</w:t>
                              </w:r>
                              <w:proofErr w:type="spellEnd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-</w:t>
                              </w: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thru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50" name="Image 50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51" name="Image 51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Host power management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52" name="Image 52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53" name="Image 53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3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IntelliCache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54" name="Image 54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4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55" name="Image 55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5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val="en-US" w:eastAsia="fr-FR"/>
                                </w:rPr>
                              </w:pPr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val="en-US" w:eastAsia="fr-FR"/>
                                </w:rPr>
                                <w:t>Live memory snapshot and revert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val="en-US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val="en-US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56" name="Image 56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57" name="Image 57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7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Provisioning</w:t>
                              </w:r>
                              <w:proofErr w:type="spellEnd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 xml:space="preserve"> Services (</w:t>
                              </w: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virtual</w:t>
                              </w:r>
                              <w:proofErr w:type="spellEnd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58" name="Image 58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8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59" name="Image 59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9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Role</w:t>
                              </w:r>
                              <w:proofErr w:type="spellEnd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-</w:t>
                              </w: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based</w:t>
                              </w:r>
                              <w:proofErr w:type="spellEnd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 xml:space="preserve"> administration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60" name="Image 60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0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61" name="Image 61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1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lastRenderedPageBreak/>
                                <w:t>StorageLink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62" name="Image 62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2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63" name="Image 63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3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val="en-US" w:eastAsia="fr-FR"/>
                                </w:rPr>
                              </w:pPr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val="en-US" w:eastAsia="fr-FR"/>
                                </w:rPr>
                                <w:t xml:space="preserve">Web management console with </w:t>
                              </w: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val="en-US" w:eastAsia="fr-FR"/>
                                </w:rPr>
                                <w:t>delegatedadmin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val="en-US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val="en-US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64" name="Image 64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65" name="Image 65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5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Provisioning</w:t>
                              </w:r>
                              <w:proofErr w:type="spellEnd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 xml:space="preserve"> Services (</w:t>
                              </w: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physical</w:t>
                              </w:r>
                              <w:proofErr w:type="spellEnd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66" name="Image 66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6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 xml:space="preserve">Site </w:t>
                              </w: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Recovery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725" cy="95250"/>
                                    <wp:effectExtent l="19050" t="0" r="9525" b="0"/>
                                    <wp:docPr id="67" name="Image 67" descr="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7" descr="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40B" w:rsidRPr="0021040B" w:rsidTr="00210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proofErr w:type="spellStart"/>
                              <w:r w:rsidRPr="0021040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5383D"/>
                                  <w:sz w:val="18"/>
                                  <w:lang w:eastAsia="fr-FR"/>
                                </w:rPr>
                                <w:t>Cost</w:t>
                              </w:r>
                              <w:proofErr w:type="spellEnd"/>
                              <w:r w:rsidRPr="0021040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5383D"/>
                                  <w:sz w:val="18"/>
                                  <w:lang w:eastAsia="fr-FR"/>
                                </w:rPr>
                                <w:t xml:space="preserve"> per server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Free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$1,000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$2,500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040B" w:rsidRPr="0021040B" w:rsidRDefault="0021040B" w:rsidP="0021040B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21040B">
                                <w:rPr>
                                  <w:rFonts w:ascii="Arial" w:eastAsia="Times New Roman" w:hAnsi="Arial" w:cs="Arial"/>
                                  <w:color w:val="35383D"/>
                                  <w:sz w:val="18"/>
                                  <w:szCs w:val="18"/>
                                  <w:lang w:eastAsia="fr-FR"/>
                                </w:rPr>
                                <w:t>$5,000</w:t>
                              </w:r>
                            </w:p>
                          </w:tc>
                        </w:tr>
                      </w:tbl>
                      <w:p w:rsidR="0021040B" w:rsidRPr="0021040B" w:rsidRDefault="0021040B" w:rsidP="0021040B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5383D"/>
                            <w:sz w:val="18"/>
                            <w:szCs w:val="1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1040B" w:rsidRPr="0021040B" w:rsidRDefault="0021040B" w:rsidP="0021040B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5383D"/>
                            <w:sz w:val="18"/>
                            <w:szCs w:val="18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35383D"/>
                            <w:sz w:val="18"/>
                            <w:szCs w:val="18"/>
                            <w:lang w:eastAsia="fr-FR"/>
                          </w:rPr>
                          <w:lastRenderedPageBreak/>
                          <w:drawing>
                            <wp:inline distT="0" distB="0" distL="0" distR="0">
                              <wp:extent cx="76200" cy="809625"/>
                              <wp:effectExtent l="19050" t="0" r="0" b="0"/>
                              <wp:docPr id="68" name="Image 68" descr="http://www.citrix.com/site/resources/dynamic/additional/demos/bin/em/elm/wdg/table_corner_t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http://www.citrix.com/site/resources/dynamic/additional/demos/bin/em/elm/wdg/table_corner_t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80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1040B" w:rsidRPr="0021040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1040B" w:rsidRPr="0021040B" w:rsidRDefault="0021040B" w:rsidP="0021040B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5383D"/>
                            <w:sz w:val="18"/>
                            <w:szCs w:val="1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21040B" w:rsidRPr="0021040B" w:rsidRDefault="0021040B" w:rsidP="002104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5383D"/>
                            <w:sz w:val="18"/>
                            <w:szCs w:val="1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1040B" w:rsidRPr="0021040B" w:rsidRDefault="0021040B" w:rsidP="0021040B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5383D"/>
                            <w:sz w:val="18"/>
                            <w:szCs w:val="18"/>
                            <w:lang w:eastAsia="fr-FR"/>
                          </w:rPr>
                        </w:pPr>
                      </w:p>
                    </w:tc>
                  </w:tr>
                  <w:tr w:rsidR="0021040B" w:rsidRPr="0021040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1040B" w:rsidRPr="0021040B" w:rsidRDefault="0021040B" w:rsidP="0021040B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5383D"/>
                            <w:sz w:val="18"/>
                            <w:szCs w:val="1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1040B" w:rsidRPr="0021040B" w:rsidRDefault="0021040B" w:rsidP="0021040B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5383D"/>
                            <w:sz w:val="18"/>
                            <w:szCs w:val="1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1040B" w:rsidRPr="0021040B" w:rsidRDefault="0021040B" w:rsidP="0021040B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5383D"/>
                            <w:sz w:val="18"/>
                            <w:szCs w:val="18"/>
                            <w:lang w:eastAsia="fr-FR"/>
                          </w:rPr>
                        </w:pPr>
                      </w:p>
                    </w:tc>
                  </w:tr>
                </w:tbl>
                <w:p w:rsidR="0021040B" w:rsidRPr="0021040B" w:rsidRDefault="0021040B" w:rsidP="0021040B">
                  <w:pPr>
                    <w:spacing w:before="270" w:after="270" w:line="270" w:lineRule="atLeast"/>
                    <w:rPr>
                      <w:rFonts w:ascii="Arial" w:eastAsia="Times New Roman" w:hAnsi="Arial" w:cs="Arial"/>
                      <w:color w:val="76797C"/>
                      <w:sz w:val="15"/>
                      <w:szCs w:val="15"/>
                      <w:lang w:val="en-US" w:eastAsia="fr-FR"/>
                    </w:rPr>
                  </w:pPr>
                  <w:r w:rsidRPr="0021040B">
                    <w:rPr>
                      <w:rFonts w:ascii="Arial" w:eastAsia="Times New Roman" w:hAnsi="Arial" w:cs="Arial"/>
                      <w:color w:val="76797C"/>
                      <w:sz w:val="15"/>
                      <w:szCs w:val="15"/>
                      <w:lang w:val="en-US" w:eastAsia="fr-FR"/>
                    </w:rPr>
                    <w:t>[1] Automated VM protection and recovery is only available for the Advanced and Enterprise editions in the 6.0 release and later.</w:t>
                  </w:r>
                </w:p>
              </w:tc>
            </w:tr>
          </w:tbl>
          <w:p w:rsidR="0021040B" w:rsidRPr="0021040B" w:rsidRDefault="0021040B" w:rsidP="0021040B">
            <w:pPr>
              <w:spacing w:after="0" w:line="270" w:lineRule="atLeast"/>
              <w:rPr>
                <w:rFonts w:ascii="Arial" w:eastAsia="Times New Roman" w:hAnsi="Arial" w:cs="Arial"/>
                <w:color w:val="35383D"/>
                <w:sz w:val="18"/>
                <w:szCs w:val="18"/>
                <w:lang w:val="en-US" w:eastAsia="fr-FR"/>
              </w:rPr>
            </w:pPr>
          </w:p>
        </w:tc>
      </w:tr>
    </w:tbl>
    <w:p w:rsidR="00722165" w:rsidRPr="0021040B" w:rsidRDefault="00722165">
      <w:pPr>
        <w:rPr>
          <w:lang w:val="en-US"/>
        </w:rPr>
      </w:pPr>
    </w:p>
    <w:sectPr w:rsidR="00722165" w:rsidRPr="0021040B" w:rsidSect="002104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040B"/>
    <w:rsid w:val="0021040B"/>
    <w:rsid w:val="0072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165"/>
  </w:style>
  <w:style w:type="paragraph" w:styleId="Titre1">
    <w:name w:val="heading 1"/>
    <w:basedOn w:val="Normal"/>
    <w:link w:val="Titre1Car"/>
    <w:uiPriority w:val="9"/>
    <w:qFormat/>
    <w:rsid w:val="0021040B"/>
    <w:pPr>
      <w:spacing w:before="30" w:after="120" w:line="390" w:lineRule="atLeast"/>
      <w:outlineLvl w:val="0"/>
    </w:pPr>
    <w:rPr>
      <w:rFonts w:ascii="Times New Roman" w:eastAsia="Times New Roman" w:hAnsi="Times New Roman" w:cs="Times New Roman"/>
      <w:color w:val="706F5C"/>
      <w:kern w:val="36"/>
      <w:sz w:val="30"/>
      <w:szCs w:val="3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40B"/>
    <w:rPr>
      <w:rFonts w:ascii="Times New Roman" w:eastAsia="Times New Roman" w:hAnsi="Times New Roman" w:cs="Times New Roman"/>
      <w:color w:val="706F5C"/>
      <w:kern w:val="36"/>
      <w:sz w:val="30"/>
      <w:szCs w:val="30"/>
      <w:lang w:eastAsia="fr-FR"/>
    </w:rPr>
  </w:style>
  <w:style w:type="character" w:styleId="lev">
    <w:name w:val="Strong"/>
    <w:basedOn w:val="Policepardfaut"/>
    <w:uiPriority w:val="22"/>
    <w:qFormat/>
    <w:rsid w:val="0021040B"/>
    <w:rPr>
      <w:b/>
      <w:bCs/>
    </w:rPr>
  </w:style>
  <w:style w:type="paragraph" w:styleId="NormalWeb">
    <w:name w:val="Normal (Web)"/>
    <w:basedOn w:val="Normal"/>
    <w:uiPriority w:val="99"/>
    <w:unhideWhenUsed/>
    <w:rsid w:val="0021040B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ro">
    <w:name w:val="intro"/>
    <w:basedOn w:val="Normal"/>
    <w:rsid w:val="0021040B"/>
    <w:pPr>
      <w:spacing w:before="100" w:beforeAutospacing="1" w:after="270" w:line="270" w:lineRule="atLeast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47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2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0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http://www.citrix.com/xenserver/server-virtualizati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jacques</cp:lastModifiedBy>
  <cp:revision>2</cp:revision>
  <dcterms:created xsi:type="dcterms:W3CDTF">2012-09-26T08:36:00Z</dcterms:created>
  <dcterms:modified xsi:type="dcterms:W3CDTF">2012-09-26T08:40:00Z</dcterms:modified>
</cp:coreProperties>
</file>